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D6D669" w14:textId="3595D899" w:rsidR="001805C3" w:rsidRDefault="001805C3" w:rsidP="001805C3">
      <w:pPr>
        <w:spacing w:after="160" w:line="278" w:lineRule="auto"/>
        <w:rPr>
          <w:rFonts w:ascii="Aptos" w:eastAsia="Aptos" w:hAnsi="Aptos"/>
          <w:b/>
          <w:bCs/>
          <w:kern w:val="2"/>
          <w14:ligatures w14:val="standardContextual"/>
        </w:rPr>
      </w:pPr>
      <w:r>
        <w:rPr>
          <w:rFonts w:ascii="Aptos" w:eastAsia="Aptos" w:hAnsi="Aptos"/>
          <w:b/>
          <w:bCs/>
          <w:kern w:val="2"/>
          <w14:ligatures w14:val="standardContextual"/>
        </w:rPr>
        <w:t xml:space="preserve">Islet for US Collaborative </w:t>
      </w:r>
      <w:r>
        <w:rPr>
          <w:rFonts w:ascii="Aptos" w:eastAsia="Aptos" w:hAnsi="Aptos"/>
          <w:b/>
          <w:bCs/>
          <w:kern w:val="2"/>
          <w14:ligatures w14:val="standardContextual"/>
        </w:rPr>
        <w:t>R</w:t>
      </w:r>
      <w:r>
        <w:rPr>
          <w:rFonts w:ascii="Aptos" w:eastAsia="Aptos" w:hAnsi="Aptos"/>
          <w:b/>
          <w:bCs/>
          <w:kern w:val="2"/>
          <w14:ligatures w14:val="standardContextual"/>
        </w:rPr>
        <w:t xml:space="preserve">esponse </w:t>
      </w:r>
      <w:r>
        <w:rPr>
          <w:rFonts w:ascii="Aptos" w:eastAsia="Aptos" w:hAnsi="Aptos"/>
          <w:b/>
          <w:bCs/>
          <w:kern w:val="2"/>
          <w14:ligatures w14:val="standardContextual"/>
        </w:rPr>
        <w:t xml:space="preserve">to </w:t>
      </w:r>
      <w:r>
        <w:rPr>
          <w:rFonts w:ascii="Aptos" w:eastAsia="Aptos" w:hAnsi="Aptos"/>
          <w:b/>
          <w:bCs/>
          <w:kern w:val="2"/>
          <w14:ligatures w14:val="standardContextual"/>
        </w:rPr>
        <w:t xml:space="preserve">HHS </w:t>
      </w:r>
      <w:r w:rsidR="004C5E0C">
        <w:rPr>
          <w:rFonts w:ascii="Aptos" w:eastAsia="Aptos" w:hAnsi="Aptos"/>
          <w:b/>
          <w:bCs/>
          <w:kern w:val="2"/>
          <w14:ligatures w14:val="standardContextual"/>
        </w:rPr>
        <w:t>Request</w:t>
      </w:r>
      <w:r>
        <w:rPr>
          <w:rFonts w:ascii="Aptos" w:eastAsia="Aptos" w:hAnsi="Aptos"/>
          <w:b/>
          <w:bCs/>
          <w:kern w:val="2"/>
          <w14:ligatures w14:val="standardContextual"/>
        </w:rPr>
        <w:t xml:space="preserve"> for Public Comment</w:t>
      </w:r>
      <w:r w:rsidR="004A1531">
        <w:rPr>
          <w:rFonts w:ascii="Aptos" w:eastAsia="Aptos" w:hAnsi="Aptos"/>
          <w:b/>
          <w:bCs/>
          <w:kern w:val="2"/>
          <w14:ligatures w14:val="standardContextual"/>
        </w:rPr>
        <w:t>s</w:t>
      </w:r>
    </w:p>
    <w:p w14:paraId="01A85B8F" w14:textId="77777777" w:rsidR="001805C3" w:rsidRDefault="001805C3" w:rsidP="001805C3">
      <w:pPr>
        <w:spacing w:after="160" w:line="278" w:lineRule="auto"/>
        <w:rPr>
          <w:rFonts w:ascii="Aptos" w:eastAsia="Aptos" w:hAnsi="Aptos"/>
          <w:b/>
          <w:bCs/>
          <w:kern w:val="2"/>
          <w14:ligatures w14:val="standardContextual"/>
        </w:rPr>
      </w:pPr>
    </w:p>
    <w:p w14:paraId="48EC3437" w14:textId="77777777" w:rsidR="001805C3" w:rsidRPr="002E0E29" w:rsidRDefault="001805C3" w:rsidP="001805C3">
      <w:pPr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2E0E29">
        <w:rPr>
          <w:rFonts w:ascii="Aptos" w:eastAsia="Aptos" w:hAnsi="Aptos"/>
          <w:kern w:val="2"/>
          <w14:ligatures w14:val="standardContextual"/>
        </w:rPr>
        <w:t>Re: Docket FDA-2026-N-10738 — Improving Patient Access to Deceased Donor Islet Cells and Cell Products</w:t>
      </w:r>
    </w:p>
    <w:p w14:paraId="289BF30E" w14:textId="77777777" w:rsidR="001805C3" w:rsidRDefault="001805C3" w:rsidP="001805C3">
      <w:pPr>
        <w:spacing w:after="160" w:line="278" w:lineRule="auto"/>
        <w:rPr>
          <w:rFonts w:ascii="Aptos" w:eastAsia="Aptos" w:hAnsi="Aptos"/>
          <w:b/>
          <w:bCs/>
          <w:kern w:val="2"/>
          <w14:ligatures w14:val="standardContextual"/>
        </w:rPr>
      </w:pPr>
    </w:p>
    <w:p w14:paraId="01C82819" w14:textId="5A6D0D03" w:rsidR="001805C3" w:rsidRPr="00A35FF9" w:rsidRDefault="001805C3" w:rsidP="001805C3">
      <w:pPr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Reference</w:t>
      </w:r>
    </w:p>
    <w:p w14:paraId="76B6E98C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Abdulreda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MH, et al. The pancreatic islet: a micro-organ in control. CellR4 Repair Replace Regen Reprogram. 2021;9. doi:10.32113/cellr4_20213_3093.</w:t>
      </w:r>
    </w:p>
    <w:p w14:paraId="622A8EFB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Barton FB, et al. Improvement in outcomes of clinical islet transplantation: 1999-2010. Diabetes Care. 2012;35(7):1436-1445. doi:10.2337/dc12-0063. PMID:22723582.</w:t>
      </w:r>
    </w:p>
    <w:p w14:paraId="15BC0BFA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Barton FB, et al. Islet product characteristics and factors related to successful human islet transplantation from the Collaborative Islet Transplant Registry (CITR) 1999-2010. Am J Transplant. 2014;14(11):2595-2606. doi:10.1111/ajt.12872. PMID:25278159.</w:t>
      </w:r>
    </w:p>
    <w:p w14:paraId="6A2432A9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Berney T, et al. A worldwide survey of activities and practices in clinical islet of Langerhans transplantation. CellR4. 2019;7.</w:t>
      </w:r>
    </w:p>
    <w:p w14:paraId="09B86A1E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Berney T, et al. Not reimbursing islet transplantation creates discrimination against patients with type 1 diabetes. CellR4. 2019;7.</w:t>
      </w:r>
    </w:p>
    <w:p w14:paraId="02CBC9E2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Bertuzzi F, et al. Islet transplantation in Italy. CellR4. 2019;7.</w:t>
      </w:r>
    </w:p>
    <w:p w14:paraId="5F0C936E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Bosi E, et al. A worldwide survey of activities and practices in clinical islet of Langerhans transplantation.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Transpl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Int.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2022;35:10507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. doi:10.3389/ti.2022.10507.</w:t>
      </w:r>
    </w:p>
    <w:p w14:paraId="0080C2E0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Brennan DC, et al. Long-Term Follow-Up of the Edmonton Protocol of Islet Transplantation in the United States. Am J Transplant. 2016;16(2):509-517. doi:10.1111/ajt.13458.</w:t>
      </w:r>
    </w:p>
    <w:p w14:paraId="66C0C2AC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Collaborative Islet Transplant Registry, et al. 12th Allograft Network Data Report. 2025. CITR. The report includes data from 1999-2023 and 1,477 allogeneic islet-transplant recipients across 40 centers.</w:t>
      </w:r>
    </w:p>
    <w:p w14:paraId="0BF91C47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Debska-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Slizien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A, et al. Islet transplantation-perspective from Poland. CellR4. 2019;7.</w:t>
      </w:r>
    </w:p>
    <w:p w14:paraId="6EBE7BEC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lastRenderedPageBreak/>
        <w:t>European Medicines Agency, et al. Committee for Advanced Therapies (CAT). Reflection paper on classification of advanced therapy medicinal products. EMA/CAT/600280/2010 Rev.1. 21 May 2015.</w:t>
      </w:r>
    </w:p>
    <w:p w14:paraId="1CA50C6A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Golebiewska JE, et al. Validation of a new North American Islet Donor Score for donor pancreas selection and successful islet isolation in a medium-volume islet transplant center. Cell Transplant. 2019;28(2):185-194. doi:10.1177/0963689718816989. PMID:30520321.</w:t>
      </w:r>
    </w:p>
    <w:p w14:paraId="02DA05C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Guignard AP, et al. Cost analysis of human islet transplantation for the treatment of type 1 diabetes in the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Swiss-French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 xml:space="preserve"> Consortium GRAGIL. Diabetes Care. 2004;27(4):895-900. doi:10.2337/diacare.27.4.895.</w:t>
      </w:r>
    </w:p>
    <w:p w14:paraId="011C001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Health Canada, et al. Guidance on the Safety of Human Cells, Tissues and Organs for Transplantation Regulations: Classification of CTOs. Government of Canada; revised August 4, 2026.</w:t>
      </w:r>
    </w:p>
    <w:p w14:paraId="2A3BCADF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Hering BJ, et al. Phase 3 trial of transplantation of human islets in type 1 diabetes complicated by severe hypoglycemia. Diabetes Care. 2016;39(7):1230-1240. doi:10.2337/dc15-1988.</w:t>
      </w:r>
    </w:p>
    <w:p w14:paraId="52E2A20C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Hering BJ, et al. Phase 3 trial of human islet-after-kidney transplantation in type 1 diabetes. Diabetes Care. 2016;39(7):1230-1240.</w:t>
      </w:r>
    </w:p>
    <w:p w14:paraId="5B6F99AC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Iglesias-Lopez C, et al. Regulatory framework for advanced therapy medicinal products in Europe and United States. Front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Pharmacol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2019;10:921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. doi:10.3389/fphar.2019.00921.</w:t>
      </w:r>
    </w:p>
    <w:p w14:paraId="63674A3A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Johnson PRV, et al. Islet transplantation in the UK. CellR4. 2019;7.</w:t>
      </w:r>
    </w:p>
    <w:p w14:paraId="0C977EBF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Kneteman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NM, et al. Cadaver pancreas recovery technique. Impact on islet recovery and in vitro function. Transplantation. 1994;58(10):1114-1119. PMID:7974719.</w:t>
      </w:r>
    </w:p>
    <w:p w14:paraId="2AE6198A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Lablanche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S, et al. Islet transplantation versus insulin therapy in patients with type 1 diabetes with severe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hypoglycaemia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or poorly controlled glycaemia after kidney transplantation (TRIMECO): a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multicentre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,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randomised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controlled trial. Lancet Diabetes Endocrinol. 2018;6(7):527-537. doi:10.1016/S2213-8587(18)30078-0. PMID:29776895.</w:t>
      </w:r>
    </w:p>
    <w:p w14:paraId="586E86CB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lastRenderedPageBreak/>
        <w:t>Lakey JRT, et al. Effect of core pancreas temperature during cadaveric procurement on human islet isolation and functional viability. Transplantation. 2002;73(7):1106-1110. doi:10.1097/00007890-200204150-00016. PMID:11965040.</w:t>
      </w:r>
    </w:p>
    <w:p w14:paraId="2335F469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Lee TC, et al. Procurement of the human pancreas for pancreatic islet transplantation. Transplantation. 2004;78(3):481-483. doi:10.1097/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01.TP.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0000128910.41921.4B. PMID:15316380.</w:t>
      </w:r>
    </w:p>
    <w:p w14:paraId="67EE31BD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Legal &amp; regulatory framework for cell/tissue-based products, et al. Legal &amp; regulatory framework for cell/tissue-based products and its relationship with the European system. [Regulatory document].</w:t>
      </w:r>
    </w:p>
    <w:p w14:paraId="37F71872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Liu Y, et al. The direct effects of tacrolimus and cyclosporin A on isolated human islets: a functional, survival and gene expression study. Diabetes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Metab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>. 2011. PMID:21099257.</w:t>
      </w:r>
    </w:p>
    <w:p w14:paraId="1D719FC3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Marfil-Garza BA, et al. Pancreatic islet transplantation in type 1 diabetes: 20-year experience from a single-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centre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cohort in Canada. Lancet Diabetes Endocrinol. 2022;10(7):519-532. doi:10.1016/S2213-8587(22)00114-0.</w:t>
      </w:r>
    </w:p>
    <w:p w14:paraId="2B0AC738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Moassesfar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S, et al. A comparative analysis of the safety, efficacy, and cost of islet versus pancreas transplantation in nonuremic patients with type 1 diabetes. Am J Transplant. 2016;16(2):518-526. doi:10.1111/ajt.13536.</w:t>
      </w:r>
    </w:p>
    <w:p w14:paraId="57897ED7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Monserrat N, et al. Islet transplantation in the US-quo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vadis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? An interview with Camillo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Ricordi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(CR), Ali Naji (AN), Peter Stock (PS), Piotr Witkowski (PW). Transplant Int. 2021;34. doi:10.1111/tri.13931.</w:t>
      </w:r>
    </w:p>
    <w:p w14:paraId="50D3F398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Nano R, et al. Heterogeneity of human pancreatic islet isolation around Europe: results of a survey study. CellR4. 2019;7.</w:t>
      </w:r>
    </w:p>
    <w:p w14:paraId="6E34E0DD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National Institute of Diabetes and Digestive and Kidney Diseases, et al. Continuation of the Collaborative Islet Transplantation Registry (CITR). 2025.</w:t>
      </w:r>
    </w:p>
    <w:p w14:paraId="7DA36588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O'Connell PJ, et al. Establishing a national program of islet transplantation in Australia. CellR4. 2019;7.</w:t>
      </w:r>
    </w:p>
    <w:p w14:paraId="007B1E27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O'Gorman D, et al. The standardization of pancreatic donors for islet isolations. Transplantation. 2005;80(6):801-806. doi:10.1097/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01.tp.0000172216.47547.d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5. PMID:16210968.</w:t>
      </w:r>
    </w:p>
    <w:p w14:paraId="0E406881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lastRenderedPageBreak/>
        <w:t>Rickels MR, et al. Collaborative Islet Transplant Registry-successive Allograft Network Data Reports. CITR has published longitudinal reports documenting the expanding international experience with allogeneic islet transplantation.</w:t>
      </w:r>
    </w:p>
    <w:p w14:paraId="57F5E864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Shapiro AMJ, et al.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International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 xml:space="preserve"> trial of the Edmonton protocol for islet transplantation. N Engl J Med. 2006;355(13):1318-1330. doi:10.1056/NEJMoa061267.</w:t>
      </w:r>
    </w:p>
    <w:p w14:paraId="0FE12D4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Shapiro AMJ, et al. Islet transplantation-the Canadian perspective. CellR4. 2019;7.</w:t>
      </w:r>
    </w:p>
    <w:p w14:paraId="4C925F4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The CITR Coordinating Center and Investigators, et al. 12th Collaborative Islet Transplant Registry 2025 Annual Report. CITR; 2025.</w:t>
      </w:r>
    </w:p>
    <w:p w14:paraId="265DC48B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United States Food and Drug Administration, et al. Cellular, Tissue, and Gene Therapies Advisory Committee April 15,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2021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 xml:space="preserve"> meeting announcement. Available at: FDA meeting announcement. Accessed May 20, 2021.</w:t>
      </w:r>
    </w:p>
    <w:p w14:paraId="7649C03D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Walker JT, et al. The human islet: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mini-organ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 xml:space="preserve"> with mega-impact.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Endocr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 Rev.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2021;42:605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-657. doi:10.1210/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endrev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>/bnab010.</w:t>
      </w:r>
    </w:p>
    <w:p w14:paraId="0660E9C3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Wang LJ, et al. A multicenter study: North American Islet Donor Score in donor pancreas selection for human islet isolation for transplantation. Cell Transplant. 2016;25(8):1515-1523. doi:10.3727/096368916X691141.</w:t>
      </w:r>
    </w:p>
    <w:p w14:paraId="4EF48C38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Weir GC, et al. Why pancreatic islets should be regarded and regulated like organs. CellR4 Repair Replace Regen Reprogram. 2021;9. doi:10.32113/cellr4_20213_3083.</w:t>
      </w:r>
    </w:p>
    <w:p w14:paraId="16B42AE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Witkowski P, et al. Islet transplantation at a crossroads-need for urgent regulatory update in the United States: perspective presented during the Scientific Sessions 2021 at the American Diabetes Association Congress. Front Endocrinol (Lausanne).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2022;12:789526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. doi:10.3389/fendo.2021.789526.</w:t>
      </w:r>
    </w:p>
    <w:p w14:paraId="18DE51E9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contextualSpacing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Witkowski P, et al. Arguments against the requirement of a biological license application for human pancreatic islets: the position statement of the Islets for US Collaborative presented during the FDA Advisory Committee Meeting. J Clin Med. 2021;10(13):2878. doi:10.3390/jcm10132878.</w:t>
      </w:r>
    </w:p>
    <w:p w14:paraId="23F90C65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contextualSpacing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Witkowski P, et al. Regulatory updates are needed to prevent commercialization of islet transplantation in the US. Am J Transplant. 2021;21(7):2620-2622. doi:10.1111/ajt.16555.</w:t>
      </w:r>
    </w:p>
    <w:p w14:paraId="245D53BD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contextualSpacing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Witkowski P, et al. Pancreatic islets quality and potency cannot be verified as required for drugs: reflection on the FDA review of a biological license application </w:t>
      </w:r>
      <w:r w:rsidRPr="00A35FF9">
        <w:rPr>
          <w:rFonts w:ascii="Aptos" w:eastAsia="Aptos" w:hAnsi="Aptos"/>
          <w:kern w:val="2"/>
          <w14:ligatures w14:val="standardContextual"/>
        </w:rPr>
        <w:lastRenderedPageBreak/>
        <w:t>for human islets. Transplantation. 2021;105(12)-e410. doi:10.1097/TP.0000000000003880.</w:t>
      </w:r>
    </w:p>
    <w:p w14:paraId="2B62335B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contextualSpacing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>Witkowski P, et al. The demise of islet allotransplantation in the United States: a call for an urgent regulatory update. Am J Transplant. 2021;21(4):1365-1375. doi:10.1111/ajt.16397.</w:t>
      </w:r>
    </w:p>
    <w:p w14:paraId="7158FEA6" w14:textId="77777777" w:rsidR="001805C3" w:rsidRPr="00A35FF9" w:rsidRDefault="001805C3" w:rsidP="001805C3">
      <w:pPr>
        <w:numPr>
          <w:ilvl w:val="0"/>
          <w:numId w:val="11"/>
        </w:numPr>
        <w:snapToGrid w:val="0"/>
        <w:spacing w:after="160" w:line="278" w:lineRule="auto"/>
        <w:contextualSpacing/>
        <w:rPr>
          <w:rFonts w:ascii="Aptos" w:eastAsia="Aptos" w:hAnsi="Aptos"/>
          <w:kern w:val="2"/>
          <w14:ligatures w14:val="standardContextual"/>
        </w:rPr>
      </w:pPr>
      <w:r w:rsidRPr="00A35FF9">
        <w:rPr>
          <w:rFonts w:ascii="Aptos" w:eastAsia="Aptos" w:hAnsi="Aptos"/>
          <w:kern w:val="2"/>
          <w14:ligatures w14:val="standardContextual"/>
        </w:rPr>
        <w:t xml:space="preserve">Witkowski P, et al. Demise of cadaveric islet transplantation in the USA: quo </w:t>
      </w:r>
      <w:proofErr w:type="spellStart"/>
      <w:r w:rsidRPr="00A35FF9">
        <w:rPr>
          <w:rFonts w:ascii="Aptos" w:eastAsia="Aptos" w:hAnsi="Aptos"/>
          <w:kern w:val="2"/>
          <w14:ligatures w14:val="standardContextual"/>
        </w:rPr>
        <w:t>vadis</w:t>
      </w:r>
      <w:proofErr w:type="spellEnd"/>
      <w:r w:rsidRPr="00A35FF9">
        <w:rPr>
          <w:rFonts w:ascii="Aptos" w:eastAsia="Aptos" w:hAnsi="Aptos"/>
          <w:kern w:val="2"/>
          <w14:ligatures w14:val="standardContextual"/>
        </w:rPr>
        <w:t xml:space="preserve">, 1 year after BLA approval and 24 years after the Edmonton breakthrough? Front Transplant. </w:t>
      </w:r>
      <w:proofErr w:type="gramStart"/>
      <w:r w:rsidRPr="00A35FF9">
        <w:rPr>
          <w:rFonts w:ascii="Aptos" w:eastAsia="Aptos" w:hAnsi="Aptos"/>
          <w:kern w:val="2"/>
          <w14:ligatures w14:val="standardContextual"/>
        </w:rPr>
        <w:t>2025;4:1491568</w:t>
      </w:r>
      <w:proofErr w:type="gramEnd"/>
      <w:r w:rsidRPr="00A35FF9">
        <w:rPr>
          <w:rFonts w:ascii="Aptos" w:eastAsia="Aptos" w:hAnsi="Aptos"/>
          <w:kern w:val="2"/>
          <w14:ligatures w14:val="standardContextual"/>
        </w:rPr>
        <w:t>. doi:10.3389/frtra.2025.1491568.</w:t>
      </w:r>
    </w:p>
    <w:p w14:paraId="1C91758D" w14:textId="3088149E" w:rsidR="005A72B3" w:rsidRPr="00A35FF9" w:rsidRDefault="005A72B3" w:rsidP="00A35FF9">
      <w:pPr>
        <w:snapToGrid w:val="0"/>
        <w:spacing w:after="120"/>
        <w:rPr>
          <w:rFonts w:asciiTheme="minorHAnsi" w:hAnsiTheme="minorHAnsi" w:cstheme="minorHAnsi"/>
          <w:sz w:val="22"/>
          <w:szCs w:val="22"/>
        </w:rPr>
      </w:pPr>
    </w:p>
    <w:sectPr w:rsidR="005A72B3" w:rsidRPr="00A35FF9" w:rsidSect="0021699E">
      <w:headerReference w:type="default" r:id="rId11"/>
      <w:footerReference w:type="even" r:id="rId12"/>
      <w:footerReference w:type="default" r:id="rId13"/>
      <w:pgSz w:w="12240" w:h="15840"/>
      <w:pgMar w:top="202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141FD3" w14:textId="77777777" w:rsidR="00A130D5" w:rsidRDefault="00A130D5">
      <w:r>
        <w:separator/>
      </w:r>
    </w:p>
  </w:endnote>
  <w:endnote w:type="continuationSeparator" w:id="0">
    <w:p w14:paraId="365BF036" w14:textId="77777777" w:rsidR="00A130D5" w:rsidRDefault="00A1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8D0ED6" w14:textId="77777777" w:rsidR="0009073B" w:rsidRDefault="0009073B" w:rsidP="00E4390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7F051A" w14:textId="77777777" w:rsidR="0009073B" w:rsidRDefault="0009073B" w:rsidP="00E439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44896050"/>
      <w:docPartObj>
        <w:docPartGallery w:val="Page Numbers (Bottom of Page)"/>
        <w:docPartUnique/>
      </w:docPartObj>
    </w:sdtPr>
    <w:sdtContent>
      <w:p w14:paraId="00B902B8" w14:textId="5F5B8322" w:rsidR="0009073B" w:rsidRDefault="0009073B" w:rsidP="0021699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148D8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25D03CBA" w14:textId="77777777" w:rsidR="0009073B" w:rsidRPr="00A35FF9" w:rsidRDefault="0009073B" w:rsidP="00E43904">
    <w:pPr>
      <w:pStyle w:val="Footer"/>
      <w:ind w:right="360"/>
      <w:jc w:val="center"/>
      <w:rPr>
        <w:rFonts w:ascii="Aptos" w:hAnsi="Aptos" w:cs="Aptos"/>
        <w:color w:val="C00000"/>
      </w:rPr>
    </w:pPr>
    <w:r w:rsidRPr="00A35FF9">
      <w:rPr>
        <w:rFonts w:ascii="Aptos" w:hAnsi="Aptos" w:cs="Aptos"/>
        <w:color w:val="C00000"/>
      </w:rPr>
      <w:t>www.isletsforus.org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E743D3" w14:textId="77777777" w:rsidR="00A130D5" w:rsidRDefault="00A130D5">
      <w:r>
        <w:separator/>
      </w:r>
    </w:p>
  </w:footnote>
  <w:footnote w:type="continuationSeparator" w:id="0">
    <w:p w14:paraId="1D4E0991" w14:textId="77777777" w:rsidR="00A130D5" w:rsidRDefault="00A13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8DD492" w14:textId="77777777" w:rsidR="0009073B" w:rsidRDefault="0009073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26208C" wp14:editId="02BB870F">
          <wp:simplePos x="0" y="0"/>
          <wp:positionH relativeFrom="column">
            <wp:posOffset>5226402</wp:posOffset>
          </wp:positionH>
          <wp:positionV relativeFrom="paragraph">
            <wp:posOffset>3457</wp:posOffset>
          </wp:positionV>
          <wp:extent cx="688622" cy="426606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59714" name="LOGO the cur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8622" cy="42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5FF9">
      <w:rPr>
        <w:rFonts w:ascii="Aptos" w:hAnsi="Aptos" w:cs="Calibri"/>
        <w:b/>
        <w:noProof/>
      </w:rPr>
      <w:drawing>
        <wp:inline distT="0" distB="0" distL="0" distR="0" wp14:anchorId="6F390903" wp14:editId="7A1BABA1">
          <wp:extent cx="1470269" cy="444500"/>
          <wp:effectExtent l="0" t="0" r="317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031567" name="LOGO Islets for US 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6047" cy="4522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F06CF"/>
    <w:multiLevelType w:val="hybridMultilevel"/>
    <w:tmpl w:val="DE3C21AA"/>
    <w:lvl w:ilvl="0" w:tplc="0542F3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629F9"/>
    <w:multiLevelType w:val="hybridMultilevel"/>
    <w:tmpl w:val="6478D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55B05"/>
    <w:multiLevelType w:val="hybridMultilevel"/>
    <w:tmpl w:val="15329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B5FE6"/>
    <w:multiLevelType w:val="hybridMultilevel"/>
    <w:tmpl w:val="A55AF6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342BAE"/>
    <w:multiLevelType w:val="hybridMultilevel"/>
    <w:tmpl w:val="C728F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39B9"/>
    <w:multiLevelType w:val="hybridMultilevel"/>
    <w:tmpl w:val="F5DEE35A"/>
    <w:lvl w:ilvl="0" w:tplc="EFBA7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B1D98"/>
    <w:multiLevelType w:val="hybridMultilevel"/>
    <w:tmpl w:val="29DE70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036C7"/>
    <w:multiLevelType w:val="hybridMultilevel"/>
    <w:tmpl w:val="926A8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03216"/>
    <w:multiLevelType w:val="hybridMultilevel"/>
    <w:tmpl w:val="404C1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11372"/>
    <w:multiLevelType w:val="hybridMultilevel"/>
    <w:tmpl w:val="59F8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B6DE0"/>
    <w:multiLevelType w:val="hybridMultilevel"/>
    <w:tmpl w:val="FE4A2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235BBE"/>
    <w:multiLevelType w:val="hybridMultilevel"/>
    <w:tmpl w:val="C450D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51E02"/>
    <w:multiLevelType w:val="hybridMultilevel"/>
    <w:tmpl w:val="8F7E47C6"/>
    <w:lvl w:ilvl="0" w:tplc="D70C9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766FC"/>
    <w:multiLevelType w:val="hybridMultilevel"/>
    <w:tmpl w:val="2F7C3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65569"/>
    <w:multiLevelType w:val="hybridMultilevel"/>
    <w:tmpl w:val="C6AA1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6052C"/>
    <w:multiLevelType w:val="hybridMultilevel"/>
    <w:tmpl w:val="7CDEB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84D9C"/>
    <w:multiLevelType w:val="hybridMultilevel"/>
    <w:tmpl w:val="7F2C174C"/>
    <w:lvl w:ilvl="0" w:tplc="B8681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E25674"/>
    <w:multiLevelType w:val="hybridMultilevel"/>
    <w:tmpl w:val="6BB6A93A"/>
    <w:lvl w:ilvl="0" w:tplc="1D56BD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391589">
    <w:abstractNumId w:val="2"/>
  </w:num>
  <w:num w:numId="2" w16cid:durableId="36128985">
    <w:abstractNumId w:val="6"/>
  </w:num>
  <w:num w:numId="3" w16cid:durableId="1733651071">
    <w:abstractNumId w:val="11"/>
  </w:num>
  <w:num w:numId="4" w16cid:durableId="1228152288">
    <w:abstractNumId w:val="4"/>
  </w:num>
  <w:num w:numId="5" w16cid:durableId="1941642337">
    <w:abstractNumId w:val="9"/>
  </w:num>
  <w:num w:numId="6" w16cid:durableId="1621954357">
    <w:abstractNumId w:val="17"/>
  </w:num>
  <w:num w:numId="7" w16cid:durableId="515771274">
    <w:abstractNumId w:val="10"/>
  </w:num>
  <w:num w:numId="8" w16cid:durableId="1615331543">
    <w:abstractNumId w:val="14"/>
  </w:num>
  <w:num w:numId="9" w16cid:durableId="1609118310">
    <w:abstractNumId w:val="3"/>
  </w:num>
  <w:num w:numId="10" w16cid:durableId="302777339">
    <w:abstractNumId w:val="13"/>
  </w:num>
  <w:num w:numId="11" w16cid:durableId="743842075">
    <w:abstractNumId w:val="1"/>
  </w:num>
  <w:num w:numId="12" w16cid:durableId="1271427608">
    <w:abstractNumId w:val="8"/>
  </w:num>
  <w:num w:numId="13" w16cid:durableId="560940571">
    <w:abstractNumId w:val="15"/>
  </w:num>
  <w:num w:numId="14" w16cid:durableId="497422074">
    <w:abstractNumId w:val="7"/>
  </w:num>
  <w:num w:numId="15" w16cid:durableId="1538546725">
    <w:abstractNumId w:val="12"/>
  </w:num>
  <w:num w:numId="16" w16cid:durableId="1956864616">
    <w:abstractNumId w:val="0"/>
  </w:num>
  <w:num w:numId="17" w16cid:durableId="214857276">
    <w:abstractNumId w:val="16"/>
  </w:num>
  <w:num w:numId="18" w16cid:durableId="1033117156">
    <w:abstractNumId w:val="5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0NDExsTC1MDE2szBQ0lEKTi0uzszPAykwqgUAndU47ywAAAA="/>
  </w:docVars>
  <w:rsids>
    <w:rsidRoot w:val="00E14D09"/>
    <w:rsid w:val="00000D0C"/>
    <w:rsid w:val="000300E2"/>
    <w:rsid w:val="00040F42"/>
    <w:rsid w:val="00066531"/>
    <w:rsid w:val="00087219"/>
    <w:rsid w:val="00087848"/>
    <w:rsid w:val="0009073B"/>
    <w:rsid w:val="000945E5"/>
    <w:rsid w:val="0009504C"/>
    <w:rsid w:val="000B779D"/>
    <w:rsid w:val="000D2E62"/>
    <w:rsid w:val="000D3C36"/>
    <w:rsid w:val="000D75B2"/>
    <w:rsid w:val="000E19CB"/>
    <w:rsid w:val="000E2B01"/>
    <w:rsid w:val="000F28CE"/>
    <w:rsid w:val="000F6E1F"/>
    <w:rsid w:val="00100EDB"/>
    <w:rsid w:val="00103D78"/>
    <w:rsid w:val="00107FAC"/>
    <w:rsid w:val="00110FB7"/>
    <w:rsid w:val="00122F50"/>
    <w:rsid w:val="001253E9"/>
    <w:rsid w:val="001254AF"/>
    <w:rsid w:val="00125F9B"/>
    <w:rsid w:val="00127647"/>
    <w:rsid w:val="00141C85"/>
    <w:rsid w:val="00151BDB"/>
    <w:rsid w:val="0015564F"/>
    <w:rsid w:val="00161F1F"/>
    <w:rsid w:val="00173753"/>
    <w:rsid w:val="00177208"/>
    <w:rsid w:val="0017793E"/>
    <w:rsid w:val="001805C3"/>
    <w:rsid w:val="0018613C"/>
    <w:rsid w:val="001A3DFE"/>
    <w:rsid w:val="001B1551"/>
    <w:rsid w:val="001B2753"/>
    <w:rsid w:val="001E332A"/>
    <w:rsid w:val="00201F52"/>
    <w:rsid w:val="002112FE"/>
    <w:rsid w:val="0021699E"/>
    <w:rsid w:val="002210C6"/>
    <w:rsid w:val="002303B7"/>
    <w:rsid w:val="002427BA"/>
    <w:rsid w:val="00243BAF"/>
    <w:rsid w:val="002454DA"/>
    <w:rsid w:val="00252328"/>
    <w:rsid w:val="00253518"/>
    <w:rsid w:val="002660A6"/>
    <w:rsid w:val="0027585C"/>
    <w:rsid w:val="00282382"/>
    <w:rsid w:val="00282E1A"/>
    <w:rsid w:val="002A2580"/>
    <w:rsid w:val="002C22EC"/>
    <w:rsid w:val="002D2D27"/>
    <w:rsid w:val="002D4F24"/>
    <w:rsid w:val="002E0E29"/>
    <w:rsid w:val="002E2469"/>
    <w:rsid w:val="00306269"/>
    <w:rsid w:val="003443ED"/>
    <w:rsid w:val="003640E2"/>
    <w:rsid w:val="003825DF"/>
    <w:rsid w:val="00385EA6"/>
    <w:rsid w:val="003905A6"/>
    <w:rsid w:val="003B7755"/>
    <w:rsid w:val="003C563C"/>
    <w:rsid w:val="003C7A4E"/>
    <w:rsid w:val="003D473B"/>
    <w:rsid w:val="003E2829"/>
    <w:rsid w:val="003E7C25"/>
    <w:rsid w:val="004011BA"/>
    <w:rsid w:val="00410774"/>
    <w:rsid w:val="00412E61"/>
    <w:rsid w:val="004138B5"/>
    <w:rsid w:val="0045223E"/>
    <w:rsid w:val="0045631E"/>
    <w:rsid w:val="00472F82"/>
    <w:rsid w:val="00483321"/>
    <w:rsid w:val="00484A03"/>
    <w:rsid w:val="00491B8E"/>
    <w:rsid w:val="004A09F9"/>
    <w:rsid w:val="004A1531"/>
    <w:rsid w:val="004A6436"/>
    <w:rsid w:val="004C5E0C"/>
    <w:rsid w:val="004E283B"/>
    <w:rsid w:val="004F0DA7"/>
    <w:rsid w:val="00505348"/>
    <w:rsid w:val="00505B56"/>
    <w:rsid w:val="005179FD"/>
    <w:rsid w:val="0052386F"/>
    <w:rsid w:val="00524803"/>
    <w:rsid w:val="00524B99"/>
    <w:rsid w:val="00525F85"/>
    <w:rsid w:val="005264F9"/>
    <w:rsid w:val="00537960"/>
    <w:rsid w:val="00543428"/>
    <w:rsid w:val="00543D7C"/>
    <w:rsid w:val="00566A7F"/>
    <w:rsid w:val="0057247E"/>
    <w:rsid w:val="00597846"/>
    <w:rsid w:val="005A72B3"/>
    <w:rsid w:val="005D42E1"/>
    <w:rsid w:val="005D4389"/>
    <w:rsid w:val="005E3A01"/>
    <w:rsid w:val="00600192"/>
    <w:rsid w:val="0060154A"/>
    <w:rsid w:val="0061798E"/>
    <w:rsid w:val="006224E7"/>
    <w:rsid w:val="00632E36"/>
    <w:rsid w:val="0064433E"/>
    <w:rsid w:val="006450F8"/>
    <w:rsid w:val="00655371"/>
    <w:rsid w:val="00661EE1"/>
    <w:rsid w:val="00663D91"/>
    <w:rsid w:val="00673114"/>
    <w:rsid w:val="0067507B"/>
    <w:rsid w:val="006A0DD5"/>
    <w:rsid w:val="006B20B0"/>
    <w:rsid w:val="006B5C32"/>
    <w:rsid w:val="006C4674"/>
    <w:rsid w:val="006D49B7"/>
    <w:rsid w:val="006E36E3"/>
    <w:rsid w:val="006F63C7"/>
    <w:rsid w:val="00700AD9"/>
    <w:rsid w:val="007034B2"/>
    <w:rsid w:val="00716A72"/>
    <w:rsid w:val="00721F35"/>
    <w:rsid w:val="00722555"/>
    <w:rsid w:val="00727F3A"/>
    <w:rsid w:val="00745461"/>
    <w:rsid w:val="00752170"/>
    <w:rsid w:val="007579AE"/>
    <w:rsid w:val="007648E6"/>
    <w:rsid w:val="007676DD"/>
    <w:rsid w:val="00780423"/>
    <w:rsid w:val="007A6B1B"/>
    <w:rsid w:val="007B224B"/>
    <w:rsid w:val="007C2E3F"/>
    <w:rsid w:val="007C2EE4"/>
    <w:rsid w:val="007C527C"/>
    <w:rsid w:val="007E13ED"/>
    <w:rsid w:val="007E333A"/>
    <w:rsid w:val="007E6291"/>
    <w:rsid w:val="007F12E2"/>
    <w:rsid w:val="007F63BF"/>
    <w:rsid w:val="00802633"/>
    <w:rsid w:val="008042D3"/>
    <w:rsid w:val="008077F5"/>
    <w:rsid w:val="008207E3"/>
    <w:rsid w:val="00821846"/>
    <w:rsid w:val="00825266"/>
    <w:rsid w:val="008500F9"/>
    <w:rsid w:val="00872876"/>
    <w:rsid w:val="00877B09"/>
    <w:rsid w:val="00883FAD"/>
    <w:rsid w:val="00887A7E"/>
    <w:rsid w:val="008A58A8"/>
    <w:rsid w:val="008A7724"/>
    <w:rsid w:val="008B6D25"/>
    <w:rsid w:val="008C4BCA"/>
    <w:rsid w:val="008C7A03"/>
    <w:rsid w:val="008C7A9E"/>
    <w:rsid w:val="008D1EF7"/>
    <w:rsid w:val="008D6623"/>
    <w:rsid w:val="008E2748"/>
    <w:rsid w:val="008E36A2"/>
    <w:rsid w:val="008E5AC5"/>
    <w:rsid w:val="008F1F1A"/>
    <w:rsid w:val="008F322B"/>
    <w:rsid w:val="00900C4A"/>
    <w:rsid w:val="0091085F"/>
    <w:rsid w:val="009108CF"/>
    <w:rsid w:val="00927840"/>
    <w:rsid w:val="009324B1"/>
    <w:rsid w:val="00933AFD"/>
    <w:rsid w:val="009430DF"/>
    <w:rsid w:val="00957D07"/>
    <w:rsid w:val="009641A4"/>
    <w:rsid w:val="0098190B"/>
    <w:rsid w:val="009855B3"/>
    <w:rsid w:val="0098622D"/>
    <w:rsid w:val="00987B13"/>
    <w:rsid w:val="009925B9"/>
    <w:rsid w:val="009935DA"/>
    <w:rsid w:val="009A6FCF"/>
    <w:rsid w:val="009C394D"/>
    <w:rsid w:val="009D046D"/>
    <w:rsid w:val="009D14A1"/>
    <w:rsid w:val="009D405C"/>
    <w:rsid w:val="009D68DF"/>
    <w:rsid w:val="009D6BBF"/>
    <w:rsid w:val="009E4CA9"/>
    <w:rsid w:val="009E7464"/>
    <w:rsid w:val="009F713B"/>
    <w:rsid w:val="00A04552"/>
    <w:rsid w:val="00A127A0"/>
    <w:rsid w:val="00A130D5"/>
    <w:rsid w:val="00A13112"/>
    <w:rsid w:val="00A148D8"/>
    <w:rsid w:val="00A26C15"/>
    <w:rsid w:val="00A30F84"/>
    <w:rsid w:val="00A35FF9"/>
    <w:rsid w:val="00A41E06"/>
    <w:rsid w:val="00A45BAC"/>
    <w:rsid w:val="00A47E78"/>
    <w:rsid w:val="00A570DE"/>
    <w:rsid w:val="00A652A3"/>
    <w:rsid w:val="00A7131B"/>
    <w:rsid w:val="00AA4FFA"/>
    <w:rsid w:val="00AB01E1"/>
    <w:rsid w:val="00AC6072"/>
    <w:rsid w:val="00AD388E"/>
    <w:rsid w:val="00AE3EFC"/>
    <w:rsid w:val="00B15CF9"/>
    <w:rsid w:val="00B17173"/>
    <w:rsid w:val="00B1778A"/>
    <w:rsid w:val="00B17C1D"/>
    <w:rsid w:val="00B35445"/>
    <w:rsid w:val="00B37AD8"/>
    <w:rsid w:val="00B4188E"/>
    <w:rsid w:val="00B44B62"/>
    <w:rsid w:val="00B45930"/>
    <w:rsid w:val="00B52858"/>
    <w:rsid w:val="00B52C0B"/>
    <w:rsid w:val="00B66057"/>
    <w:rsid w:val="00B67D10"/>
    <w:rsid w:val="00B71462"/>
    <w:rsid w:val="00B85A3B"/>
    <w:rsid w:val="00B9695F"/>
    <w:rsid w:val="00BA7799"/>
    <w:rsid w:val="00BB1D26"/>
    <w:rsid w:val="00BB6AC9"/>
    <w:rsid w:val="00BC491B"/>
    <w:rsid w:val="00BC5A7D"/>
    <w:rsid w:val="00BD74E1"/>
    <w:rsid w:val="00C01A84"/>
    <w:rsid w:val="00C1012B"/>
    <w:rsid w:val="00C16B09"/>
    <w:rsid w:val="00C226D6"/>
    <w:rsid w:val="00C24FCD"/>
    <w:rsid w:val="00C35666"/>
    <w:rsid w:val="00C463BB"/>
    <w:rsid w:val="00C51FCB"/>
    <w:rsid w:val="00C77581"/>
    <w:rsid w:val="00CA37BD"/>
    <w:rsid w:val="00CB1A0A"/>
    <w:rsid w:val="00CC66AA"/>
    <w:rsid w:val="00CD2892"/>
    <w:rsid w:val="00CE612E"/>
    <w:rsid w:val="00CF0083"/>
    <w:rsid w:val="00D011C6"/>
    <w:rsid w:val="00D02B96"/>
    <w:rsid w:val="00D04041"/>
    <w:rsid w:val="00D07EE5"/>
    <w:rsid w:val="00D26398"/>
    <w:rsid w:val="00D3139A"/>
    <w:rsid w:val="00D403F3"/>
    <w:rsid w:val="00D636A9"/>
    <w:rsid w:val="00D70BC7"/>
    <w:rsid w:val="00D722DD"/>
    <w:rsid w:val="00D75A24"/>
    <w:rsid w:val="00D761CE"/>
    <w:rsid w:val="00D82F34"/>
    <w:rsid w:val="00D90955"/>
    <w:rsid w:val="00DA0E81"/>
    <w:rsid w:val="00DB2875"/>
    <w:rsid w:val="00DB3965"/>
    <w:rsid w:val="00DB6738"/>
    <w:rsid w:val="00DC3714"/>
    <w:rsid w:val="00DC5318"/>
    <w:rsid w:val="00DE4086"/>
    <w:rsid w:val="00DF569A"/>
    <w:rsid w:val="00E05FDB"/>
    <w:rsid w:val="00E14D09"/>
    <w:rsid w:val="00E16EF8"/>
    <w:rsid w:val="00E27D92"/>
    <w:rsid w:val="00E33299"/>
    <w:rsid w:val="00E43904"/>
    <w:rsid w:val="00E46001"/>
    <w:rsid w:val="00E56E49"/>
    <w:rsid w:val="00E6421F"/>
    <w:rsid w:val="00E72465"/>
    <w:rsid w:val="00E90261"/>
    <w:rsid w:val="00EA2940"/>
    <w:rsid w:val="00EB4EB1"/>
    <w:rsid w:val="00EC469F"/>
    <w:rsid w:val="00EC7D7E"/>
    <w:rsid w:val="00EE260C"/>
    <w:rsid w:val="00EE2C45"/>
    <w:rsid w:val="00EF0677"/>
    <w:rsid w:val="00EF2632"/>
    <w:rsid w:val="00EF69AE"/>
    <w:rsid w:val="00F01C1A"/>
    <w:rsid w:val="00F41A99"/>
    <w:rsid w:val="00F41C2F"/>
    <w:rsid w:val="00F73990"/>
    <w:rsid w:val="00F76EB8"/>
    <w:rsid w:val="00F779C4"/>
    <w:rsid w:val="00F85D60"/>
    <w:rsid w:val="00F86FD5"/>
    <w:rsid w:val="00F91C92"/>
    <w:rsid w:val="00F96D06"/>
    <w:rsid w:val="00FA2A15"/>
    <w:rsid w:val="00FA505B"/>
    <w:rsid w:val="00FA7748"/>
    <w:rsid w:val="00FB2FA8"/>
    <w:rsid w:val="00FB3B16"/>
    <w:rsid w:val="00FB55D9"/>
    <w:rsid w:val="00FD426C"/>
    <w:rsid w:val="00F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A3E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D60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3A2C"/>
    <w:pPr>
      <w:keepNext/>
      <w:keepLines/>
      <w:spacing w:before="240"/>
      <w:outlineLvl w:val="0"/>
    </w:pPr>
    <w:rPr>
      <w:rFonts w:ascii="Calibri Light" w:eastAsia="Yu Gothic Light" w:hAnsi="Calibri Light"/>
      <w:color w:val="2F5496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66524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8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BD2"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51BD2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71989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94177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link w:val="BodyText"/>
    <w:uiPriority w:val="1"/>
    <w:rsid w:val="00394177"/>
    <w:rPr>
      <w:rFonts w:ascii="Arial" w:eastAsia="Arial" w:hAnsi="Arial" w:cs="Arial"/>
      <w:sz w:val="21"/>
      <w:szCs w:val="21"/>
    </w:rPr>
  </w:style>
  <w:style w:type="character" w:customStyle="1" w:styleId="apple-converted-space">
    <w:name w:val="apple-converted-space"/>
    <w:basedOn w:val="DefaultParagraphFont"/>
    <w:rsid w:val="00266524"/>
  </w:style>
  <w:style w:type="character" w:customStyle="1" w:styleId="Heading4Char">
    <w:name w:val="Heading 4 Char"/>
    <w:link w:val="Heading4"/>
    <w:uiPriority w:val="9"/>
    <w:rsid w:val="00266524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266524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266524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66524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266524"/>
    <w:rPr>
      <w:rFonts w:ascii="Arial" w:eastAsia="Times New Roman" w:hAnsi="Arial" w:cs="Arial"/>
      <w:vanish/>
      <w:sz w:val="16"/>
      <w:szCs w:val="16"/>
    </w:rPr>
  </w:style>
  <w:style w:type="character" w:customStyle="1" w:styleId="form-required">
    <w:name w:val="form-required"/>
    <w:basedOn w:val="DefaultParagraphFont"/>
    <w:rsid w:val="0026652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66524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266524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uiPriority w:val="99"/>
    <w:unhideWhenUsed/>
    <w:rsid w:val="00266524"/>
    <w:rPr>
      <w:color w:val="0000FF"/>
      <w:u w:val="single"/>
    </w:rPr>
  </w:style>
  <w:style w:type="character" w:customStyle="1" w:styleId="field-content">
    <w:name w:val="field-content"/>
    <w:basedOn w:val="DefaultParagraphFont"/>
    <w:rsid w:val="00266524"/>
  </w:style>
  <w:style w:type="character" w:customStyle="1" w:styleId="date-display-range">
    <w:name w:val="date-display-range"/>
    <w:basedOn w:val="DefaultParagraphFont"/>
    <w:rsid w:val="00266524"/>
  </w:style>
  <w:style w:type="character" w:customStyle="1" w:styleId="date-display-start">
    <w:name w:val="date-display-start"/>
    <w:basedOn w:val="DefaultParagraphFont"/>
    <w:rsid w:val="00266524"/>
  </w:style>
  <w:style w:type="character" w:customStyle="1" w:styleId="date-display-end">
    <w:name w:val="date-display-end"/>
    <w:basedOn w:val="DefaultParagraphFont"/>
    <w:rsid w:val="00266524"/>
  </w:style>
  <w:style w:type="paragraph" w:customStyle="1" w:styleId="active">
    <w:name w:val="active"/>
    <w:basedOn w:val="Normal"/>
    <w:rsid w:val="00266524"/>
    <w:pPr>
      <w:spacing w:before="100" w:beforeAutospacing="1" w:after="100" w:afterAutospacing="1"/>
    </w:pPr>
  </w:style>
  <w:style w:type="character" w:customStyle="1" w:styleId="element-invisible">
    <w:name w:val="element-invisible"/>
    <w:basedOn w:val="DefaultParagraphFont"/>
    <w:rsid w:val="00266524"/>
  </w:style>
  <w:style w:type="paragraph" w:styleId="Revision">
    <w:name w:val="Revision"/>
    <w:hidden/>
    <w:uiPriority w:val="99"/>
    <w:semiHidden/>
    <w:rsid w:val="00A124D5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C27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79C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279C1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9C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279C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link w:val="Heading1"/>
    <w:uiPriority w:val="9"/>
    <w:rsid w:val="00813A2C"/>
    <w:rPr>
      <w:rFonts w:ascii="Calibri Light" w:eastAsia="Yu Gothic Light" w:hAnsi="Calibri Light" w:cs="Times New Roman"/>
      <w:color w:val="2F5496"/>
      <w:sz w:val="32"/>
      <w:szCs w:val="32"/>
    </w:rPr>
  </w:style>
  <w:style w:type="character" w:customStyle="1" w:styleId="highlight">
    <w:name w:val="highlight"/>
    <w:basedOn w:val="DefaultParagraphFont"/>
    <w:rsid w:val="00813A2C"/>
  </w:style>
  <w:style w:type="character" w:styleId="FollowedHyperlink">
    <w:name w:val="FollowedHyperlink"/>
    <w:uiPriority w:val="99"/>
    <w:semiHidden/>
    <w:unhideWhenUsed/>
    <w:rsid w:val="00813A2C"/>
    <w:rPr>
      <w:color w:val="954F72"/>
      <w:u w:val="single"/>
    </w:rPr>
  </w:style>
  <w:style w:type="character" w:customStyle="1" w:styleId="UnresolvedMention1">
    <w:name w:val="Unresolved Mention1"/>
    <w:uiPriority w:val="99"/>
    <w:rsid w:val="00A345B0"/>
    <w:rPr>
      <w:color w:val="605E5C"/>
      <w:shd w:val="clear" w:color="auto" w:fill="E1DFDD"/>
    </w:rPr>
  </w:style>
  <w:style w:type="paragraph" w:customStyle="1" w:styleId="Title1">
    <w:name w:val="Title1"/>
    <w:basedOn w:val="Normal"/>
    <w:rsid w:val="00E7014E"/>
    <w:pPr>
      <w:spacing w:before="100" w:beforeAutospacing="1" w:after="100" w:afterAutospacing="1"/>
    </w:pPr>
  </w:style>
  <w:style w:type="paragraph" w:customStyle="1" w:styleId="desc">
    <w:name w:val="desc"/>
    <w:basedOn w:val="Normal"/>
    <w:rsid w:val="00E7014E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E7014E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E7014E"/>
  </w:style>
  <w:style w:type="table" w:styleId="TableGrid">
    <w:name w:val="Table Grid"/>
    <w:basedOn w:val="TableNormal"/>
    <w:uiPriority w:val="39"/>
    <w:rsid w:val="00CA09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uiPriority w:val="99"/>
    <w:semiHidden/>
    <w:unhideWhenUsed/>
    <w:rsid w:val="00DA1F24"/>
    <w:rPr>
      <w:color w:val="605E5C"/>
      <w:shd w:val="clear" w:color="auto" w:fill="E1DFDD"/>
    </w:rPr>
  </w:style>
  <w:style w:type="character" w:styleId="Emphasis">
    <w:name w:val="Emphasis"/>
    <w:uiPriority w:val="20"/>
    <w:qFormat/>
    <w:rsid w:val="00F669C9"/>
    <w:rPr>
      <w:i/>
      <w:iCs/>
    </w:rPr>
  </w:style>
  <w:style w:type="character" w:customStyle="1" w:styleId="UnresolvedMention3">
    <w:name w:val="Unresolved Mention3"/>
    <w:uiPriority w:val="99"/>
    <w:semiHidden/>
    <w:unhideWhenUsed/>
    <w:rsid w:val="0029437E"/>
    <w:rPr>
      <w:color w:val="605E5C"/>
      <w:shd w:val="clear" w:color="auto" w:fill="E1DFDD"/>
    </w:rPr>
  </w:style>
  <w:style w:type="paragraph" w:customStyle="1" w:styleId="Title2">
    <w:name w:val="Title2"/>
    <w:basedOn w:val="Normal"/>
    <w:rsid w:val="00D43D70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84203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842032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842032"/>
  </w:style>
  <w:style w:type="character" w:customStyle="1" w:styleId="UnresolvedMention4">
    <w:name w:val="Unresolved Mention4"/>
    <w:uiPriority w:val="99"/>
    <w:semiHidden/>
    <w:unhideWhenUsed/>
    <w:rsid w:val="00590FDC"/>
    <w:rPr>
      <w:color w:val="605E5C"/>
      <w:shd w:val="clear" w:color="auto" w:fill="E1DFDD"/>
    </w:rPr>
  </w:style>
  <w:style w:type="character" w:customStyle="1" w:styleId="heading">
    <w:name w:val="heading"/>
    <w:basedOn w:val="DefaultParagraphFont"/>
    <w:rsid w:val="00590FDC"/>
  </w:style>
  <w:style w:type="character" w:customStyle="1" w:styleId="num">
    <w:name w:val="num"/>
    <w:basedOn w:val="DefaultParagraphFont"/>
    <w:rsid w:val="00590FDC"/>
  </w:style>
  <w:style w:type="paragraph" w:styleId="FootnoteText">
    <w:name w:val="footnote text"/>
    <w:basedOn w:val="Normal"/>
    <w:link w:val="FootnoteTextChar"/>
    <w:uiPriority w:val="99"/>
    <w:semiHidden/>
    <w:unhideWhenUsed/>
    <w:rsid w:val="005D4F7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D4F7C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D4F7C"/>
    <w:rPr>
      <w:vertAlign w:val="superscript"/>
    </w:rPr>
  </w:style>
  <w:style w:type="character" w:customStyle="1" w:styleId="UnresolvedMention5">
    <w:name w:val="Unresolved Mention5"/>
    <w:uiPriority w:val="99"/>
    <w:semiHidden/>
    <w:unhideWhenUsed/>
    <w:rsid w:val="00AA1E81"/>
    <w:rPr>
      <w:color w:val="605E5C"/>
      <w:shd w:val="clear" w:color="auto" w:fill="E1DFDD"/>
    </w:rPr>
  </w:style>
  <w:style w:type="character" w:customStyle="1" w:styleId="labs-docsum-authors">
    <w:name w:val="labs-docsum-authors"/>
    <w:basedOn w:val="DefaultParagraphFont"/>
    <w:rsid w:val="00BD6747"/>
  </w:style>
  <w:style w:type="character" w:customStyle="1" w:styleId="labs-docsum-journal-citation">
    <w:name w:val="labs-docsum-journal-citation"/>
    <w:basedOn w:val="DefaultParagraphFont"/>
    <w:rsid w:val="00BD6747"/>
  </w:style>
  <w:style w:type="character" w:customStyle="1" w:styleId="cit">
    <w:name w:val="cit"/>
    <w:basedOn w:val="DefaultParagraphFont"/>
    <w:rsid w:val="00BD6747"/>
  </w:style>
  <w:style w:type="character" w:customStyle="1" w:styleId="authors-list-item">
    <w:name w:val="authors-list-item"/>
    <w:basedOn w:val="DefaultParagraphFont"/>
    <w:rsid w:val="00BD6747"/>
  </w:style>
  <w:style w:type="character" w:customStyle="1" w:styleId="comma">
    <w:name w:val="comma"/>
    <w:basedOn w:val="DefaultParagraphFont"/>
    <w:rsid w:val="00BD6747"/>
  </w:style>
  <w:style w:type="paragraph" w:customStyle="1" w:styleId="font9">
    <w:name w:val="font_9"/>
    <w:basedOn w:val="Normal"/>
    <w:rsid w:val="00BD6747"/>
    <w:pPr>
      <w:spacing w:before="100" w:beforeAutospacing="1" w:after="100" w:afterAutospacing="1"/>
    </w:pPr>
    <w:rPr>
      <w:rFonts w:eastAsia="Calibri"/>
      <w:sz w:val="20"/>
      <w:szCs w:val="20"/>
    </w:rPr>
  </w:style>
  <w:style w:type="paragraph" w:customStyle="1" w:styleId="font8">
    <w:name w:val="font_8"/>
    <w:basedOn w:val="Normal"/>
    <w:rsid w:val="00BD6747"/>
    <w:pPr>
      <w:spacing w:before="100" w:beforeAutospacing="1" w:after="100" w:afterAutospacing="1"/>
    </w:pPr>
    <w:rPr>
      <w:rFonts w:eastAsia="Calibri"/>
      <w:sz w:val="20"/>
      <w:szCs w:val="20"/>
    </w:rPr>
  </w:style>
  <w:style w:type="character" w:customStyle="1" w:styleId="hitinf">
    <w:name w:val="hit_inf"/>
    <w:basedOn w:val="DefaultParagraphFont"/>
    <w:rsid w:val="004122A8"/>
  </w:style>
  <w:style w:type="character" w:customStyle="1" w:styleId="UnresolvedMention6">
    <w:name w:val="Unresolved Mention6"/>
    <w:uiPriority w:val="99"/>
    <w:semiHidden/>
    <w:unhideWhenUsed/>
    <w:rsid w:val="004861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122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1223F"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7B4939"/>
    <w:rPr>
      <w:color w:val="605E5C"/>
      <w:shd w:val="clear" w:color="auto" w:fill="E1DFDD"/>
    </w:rPr>
  </w:style>
  <w:style w:type="character" w:customStyle="1" w:styleId="doi">
    <w:name w:val="doi"/>
    <w:basedOn w:val="DefaultParagraphFont"/>
    <w:rsid w:val="007B4939"/>
  </w:style>
  <w:style w:type="paragraph" w:customStyle="1" w:styleId="GuidanceTitle">
    <w:name w:val="Guidance Title"/>
    <w:basedOn w:val="Default"/>
    <w:next w:val="Default"/>
    <w:uiPriority w:val="99"/>
    <w:rsid w:val="00F06BC2"/>
    <w:rPr>
      <w:rFonts w:ascii="Times New Roman" w:eastAsiaTheme="minorHAnsi" w:hAnsi="Times New Roman" w:cs="Times New Roman"/>
      <w:color w:val="auto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342642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F91C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67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5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80EC5FEE758E439DB83923CF27F150" ma:contentTypeVersion="13" ma:contentTypeDescription="Create a new document." ma:contentTypeScope="" ma:versionID="fe5884cb99e1f5b6860a4770f236eb70">
  <xsd:schema xmlns:xsd="http://www.w3.org/2001/XMLSchema" xmlns:xs="http://www.w3.org/2001/XMLSchema" xmlns:p="http://schemas.microsoft.com/office/2006/metadata/properties" xmlns:ns3="6d6599da-e2c2-40ae-af80-f83da5ee465e" xmlns:ns4="ba540a39-403d-41ea-958b-a59cfffa6a30" targetNamespace="http://schemas.microsoft.com/office/2006/metadata/properties" ma:root="true" ma:fieldsID="d3eb5b400ca277259d4049998b459453" ns3:_="" ns4:_="">
    <xsd:import namespace="6d6599da-e2c2-40ae-af80-f83da5ee465e"/>
    <xsd:import namespace="ba540a39-403d-41ea-958b-a59cfffa6a3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599da-e2c2-40ae-af80-f83da5ee46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40a39-403d-41ea-958b-a59cfffa6a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0640BE-6E39-40A0-875C-46AD8E4437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078133-962C-4707-AEC3-8C70DDE9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599da-e2c2-40ae-af80-f83da5ee465e"/>
    <ds:schemaRef ds:uri="ba540a39-403d-41ea-958b-a59cfffa6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2E0415-AAFE-41BC-AE3B-0A428143C2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C23779F-2D41-4D17-B9BD-392769AED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1240</Words>
  <Characters>7074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1901-01-01T06:00:00Z</cp:lastPrinted>
  <dcterms:created xsi:type="dcterms:W3CDTF">2026-10-19T03:44:00Z</dcterms:created>
  <dcterms:modified xsi:type="dcterms:W3CDTF">2026-10-19T03:48:00Z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